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FC86" w14:textId="297F7DEB" w:rsidR="00357B29" w:rsidRPr="00A824E3" w:rsidRDefault="00FA00D0" w:rsidP="00E0237B">
      <w:pPr>
        <w:tabs>
          <w:tab w:val="left" w:pos="1248"/>
        </w:tabs>
        <w:jc w:val="both"/>
        <w:rPr>
          <w:b/>
          <w:u w:val="single"/>
        </w:rPr>
      </w:pPr>
      <w:r w:rsidRPr="00A824E3">
        <w:rPr>
          <w:b/>
          <w:u w:val="single"/>
        </w:rPr>
        <w:t>Objetivo</w:t>
      </w:r>
    </w:p>
    <w:p w14:paraId="5309AD9F" w14:textId="0BAC6A2F" w:rsidR="00FF1789" w:rsidRDefault="00A824E3" w:rsidP="00E0237B">
      <w:pPr>
        <w:tabs>
          <w:tab w:val="left" w:pos="1248"/>
        </w:tabs>
        <w:jc w:val="both"/>
      </w:pPr>
      <w:r>
        <w:t xml:space="preserve">Realizar los cambios necesarios en los equipos que no son eficientes </w:t>
      </w:r>
      <w:r w:rsidR="00CC2A39">
        <w:t>en relación con el consumo de energía eléctrica, buscar mejores y nuevas tecnologías que se adapten a las necesidades de nuestra empresa</w:t>
      </w:r>
      <w:r w:rsidR="00FA00D0">
        <w:t>.</w:t>
      </w:r>
    </w:p>
    <w:p w14:paraId="70723EE6" w14:textId="77777777" w:rsidR="00CC2A39" w:rsidRDefault="00CC2A39" w:rsidP="00E0237B">
      <w:pPr>
        <w:tabs>
          <w:tab w:val="left" w:pos="1248"/>
        </w:tabs>
        <w:jc w:val="both"/>
      </w:pPr>
    </w:p>
    <w:p w14:paraId="3FF8F283" w14:textId="58016545" w:rsidR="0091138D" w:rsidRPr="00A824E3" w:rsidRDefault="00FF1789" w:rsidP="00E0237B">
      <w:pPr>
        <w:tabs>
          <w:tab w:val="left" w:pos="1248"/>
        </w:tabs>
        <w:jc w:val="both"/>
        <w:rPr>
          <w:b/>
          <w:u w:val="single"/>
        </w:rPr>
      </w:pPr>
      <w:r w:rsidRPr="00A824E3">
        <w:rPr>
          <w:b/>
          <w:u w:val="single"/>
        </w:rPr>
        <w:t>Roles y Responsabilidades</w:t>
      </w:r>
    </w:p>
    <w:p w14:paraId="4896DEC2" w14:textId="0FC5044E" w:rsidR="00FF1789" w:rsidRDefault="00FF1789" w:rsidP="00E0237B">
      <w:pPr>
        <w:tabs>
          <w:tab w:val="left" w:pos="1248"/>
        </w:tabs>
        <w:jc w:val="both"/>
      </w:pPr>
      <w:r>
        <w:t xml:space="preserve">Alta Dirección: responsables de velar por el cumplimiento de lo establecido por el sistema de </w:t>
      </w:r>
      <w:r w:rsidR="00A824E3">
        <w:t>gestión,</w:t>
      </w:r>
      <w:r>
        <w:t xml:space="preserve"> así como de velar por la dotación de los recursos necesarios para la adecuada ejecución de todos los servicios.</w:t>
      </w:r>
    </w:p>
    <w:p w14:paraId="4C7C67FA" w14:textId="0CB39B64" w:rsidR="0091138D" w:rsidRDefault="0091138D" w:rsidP="00E0237B">
      <w:pPr>
        <w:tabs>
          <w:tab w:val="left" w:pos="1248"/>
        </w:tabs>
        <w:jc w:val="both"/>
      </w:pPr>
      <w:r>
        <w:t xml:space="preserve">Encargado de </w:t>
      </w:r>
      <w:r w:rsidR="00CC2A39">
        <w:t>Compras</w:t>
      </w:r>
      <w:r>
        <w:t>: velar por el cumplimiento de todos lo establecido por el sistema integrado de gestión</w:t>
      </w:r>
      <w:r w:rsidR="00FF1789">
        <w:t>, ser el encargado de comuni</w:t>
      </w:r>
      <w:r w:rsidR="0032138F">
        <w:t xml:space="preserve">cación entre el departamento de </w:t>
      </w:r>
      <w:r w:rsidR="00CC2A39">
        <w:t>compras</w:t>
      </w:r>
      <w:r w:rsidR="00FF1789">
        <w:t>, los demás departamentos de la organización y la alta dirección.</w:t>
      </w:r>
      <w:r w:rsidR="00E75F08">
        <w:t xml:space="preserve"> Además de realizar todos los procesos correspondientes para las nuevas compras de los equipos</w:t>
      </w:r>
      <w:r w:rsidR="00F6365D">
        <w:t>.</w:t>
      </w:r>
    </w:p>
    <w:p w14:paraId="615CF416" w14:textId="5B9A98A9" w:rsidR="00E75F08" w:rsidRDefault="00E75F08" w:rsidP="00E0237B">
      <w:pPr>
        <w:tabs>
          <w:tab w:val="left" w:pos="1248"/>
        </w:tabs>
        <w:jc w:val="both"/>
      </w:pPr>
      <w:r>
        <w:t xml:space="preserve">Encargado de Mantenimiento: realizar los mantenimientos preventivos de los equipos existentes además de llevar el inventario de los mismos, informar sobre el estado y si se requiere de algún </w:t>
      </w:r>
      <w:r w:rsidR="002B79F4">
        <w:t>cambio.</w:t>
      </w:r>
    </w:p>
    <w:p w14:paraId="54DF72B8" w14:textId="66A38278" w:rsidR="002B79F4" w:rsidRDefault="002B79F4" w:rsidP="00E0237B">
      <w:pPr>
        <w:tabs>
          <w:tab w:val="left" w:pos="1248"/>
        </w:tabs>
        <w:jc w:val="both"/>
      </w:pPr>
    </w:p>
    <w:p w14:paraId="29D12F81" w14:textId="0D0E93E1" w:rsidR="002B79F4" w:rsidRDefault="002B79F4" w:rsidP="00E0237B">
      <w:pPr>
        <w:tabs>
          <w:tab w:val="left" w:pos="1248"/>
        </w:tabs>
        <w:jc w:val="both"/>
        <w:rPr>
          <w:b/>
          <w:u w:val="single"/>
        </w:rPr>
      </w:pPr>
      <w:r w:rsidRPr="002B79F4">
        <w:rPr>
          <w:b/>
          <w:u w:val="single"/>
        </w:rPr>
        <w:t>Alcance</w:t>
      </w:r>
    </w:p>
    <w:p w14:paraId="034BE1CE" w14:textId="2832145B" w:rsidR="002B79F4" w:rsidRDefault="002B79F4" w:rsidP="00E0237B">
      <w:pPr>
        <w:tabs>
          <w:tab w:val="left" w:pos="1248"/>
        </w:tabs>
        <w:jc w:val="both"/>
      </w:pPr>
      <w:r>
        <w:t>A los departamentos de mantenimiento y compras del hotel.</w:t>
      </w:r>
    </w:p>
    <w:p w14:paraId="5FD0DBAC" w14:textId="1AB2B34A" w:rsidR="00F35376" w:rsidRDefault="00F35376" w:rsidP="00E0237B">
      <w:pPr>
        <w:tabs>
          <w:tab w:val="left" w:pos="1248"/>
        </w:tabs>
        <w:jc w:val="both"/>
      </w:pPr>
    </w:p>
    <w:p w14:paraId="5494D361" w14:textId="3BABA434" w:rsidR="00F35376" w:rsidRDefault="00F35376" w:rsidP="00E0237B">
      <w:pPr>
        <w:tabs>
          <w:tab w:val="left" w:pos="1248"/>
        </w:tabs>
        <w:jc w:val="both"/>
        <w:rPr>
          <w:b/>
          <w:u w:val="single"/>
        </w:rPr>
      </w:pPr>
      <w:r>
        <w:rPr>
          <w:b/>
          <w:u w:val="single"/>
        </w:rPr>
        <w:t>Generalidades</w:t>
      </w:r>
    </w:p>
    <w:p w14:paraId="23CA4ACA" w14:textId="77777777" w:rsidR="00BB2168" w:rsidRDefault="00BB2168" w:rsidP="00E0237B">
      <w:pPr>
        <w:tabs>
          <w:tab w:val="left" w:pos="1248"/>
        </w:tabs>
        <w:jc w:val="both"/>
      </w:pPr>
      <w:r>
        <w:t>Se busca actualizar los equipos por otros de nuevas tecnologías los cuales tendrán que cumplir con los siguientes requerimientos:</w:t>
      </w:r>
    </w:p>
    <w:p w14:paraId="42C73F06" w14:textId="75DD42EF" w:rsidR="002E420F" w:rsidRDefault="00B52E07" w:rsidP="00BB2168">
      <w:pPr>
        <w:pStyle w:val="Prrafodelista"/>
        <w:numPr>
          <w:ilvl w:val="0"/>
          <w:numId w:val="15"/>
        </w:numPr>
        <w:tabs>
          <w:tab w:val="left" w:pos="1248"/>
        </w:tabs>
        <w:jc w:val="both"/>
      </w:pPr>
      <w:r>
        <w:t>Aires Acondicionados:</w:t>
      </w:r>
    </w:p>
    <w:p w14:paraId="445DD18C" w14:textId="2ED641BF" w:rsidR="00B52E07" w:rsidRDefault="00B52E07" w:rsidP="00B52E07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Usar refrigerantes amigables con el medio ambiente</w:t>
      </w:r>
    </w:p>
    <w:p w14:paraId="114A0D41" w14:textId="2FA930D9" w:rsidR="00B52E07" w:rsidRDefault="00B52E07" w:rsidP="00B52E07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Tecnología Inverter o superior</w:t>
      </w:r>
    </w:p>
    <w:p w14:paraId="08C3B6B3" w14:textId="200A2F96" w:rsidR="00B52E07" w:rsidRDefault="00B52E07" w:rsidP="00B52E07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 xml:space="preserve">Capacidad de BTU (13000) en habitaciones </w:t>
      </w:r>
    </w:p>
    <w:p w14:paraId="41D05ECA" w14:textId="281C754C" w:rsidR="00B52E07" w:rsidRDefault="00B52E07" w:rsidP="00B52E07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Manejar un stock de repuestos</w:t>
      </w:r>
    </w:p>
    <w:p w14:paraId="66CCA4F9" w14:textId="2529152B" w:rsidR="00B52E07" w:rsidRDefault="00B52E07" w:rsidP="00B52E07">
      <w:pPr>
        <w:pStyle w:val="Prrafodelista"/>
        <w:numPr>
          <w:ilvl w:val="0"/>
          <w:numId w:val="15"/>
        </w:numPr>
        <w:tabs>
          <w:tab w:val="left" w:pos="1248"/>
        </w:tabs>
        <w:jc w:val="both"/>
      </w:pPr>
      <w:r>
        <w:t>Equipos de enfriamiento y Congelado:</w:t>
      </w:r>
    </w:p>
    <w:p w14:paraId="341DDCE0" w14:textId="66ED6F4D" w:rsidR="00B52E07" w:rsidRDefault="00B52E07" w:rsidP="00B52E07">
      <w:pPr>
        <w:pStyle w:val="Prrafodelista"/>
        <w:tabs>
          <w:tab w:val="left" w:pos="1248"/>
        </w:tabs>
        <w:jc w:val="both"/>
      </w:pPr>
      <w:r>
        <w:t xml:space="preserve">Estos se utilizan en contenedores fabricados en acero inoxidable, los cuales por sus condiciones son </w:t>
      </w:r>
      <w:r w:rsidR="00935770">
        <w:t>óptimos para mantener bajas temperaturas y lograr con esto la mayor eficiencia en consumo.</w:t>
      </w:r>
    </w:p>
    <w:p w14:paraId="256147E1" w14:textId="1B3737A7" w:rsidR="00B52E07" w:rsidRDefault="00B52E07" w:rsidP="00B52E07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Usar refrigerantes amigables con el medio ambiente</w:t>
      </w:r>
    </w:p>
    <w:p w14:paraId="3D2EEC29" w14:textId="77777777" w:rsidR="00B52E07" w:rsidRDefault="00B52E07" w:rsidP="00B52E07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Manejar un stock de repuestos</w:t>
      </w:r>
    </w:p>
    <w:p w14:paraId="6ADAF066" w14:textId="2F593E9B" w:rsidR="00935770" w:rsidRDefault="00935770" w:rsidP="00935770">
      <w:pPr>
        <w:tabs>
          <w:tab w:val="left" w:pos="1248"/>
        </w:tabs>
        <w:jc w:val="both"/>
      </w:pPr>
    </w:p>
    <w:p w14:paraId="0DC39295" w14:textId="2D75B4C2" w:rsidR="00935770" w:rsidRDefault="00935770" w:rsidP="00935770">
      <w:pPr>
        <w:pStyle w:val="Prrafodelista"/>
        <w:numPr>
          <w:ilvl w:val="0"/>
          <w:numId w:val="15"/>
        </w:numPr>
        <w:tabs>
          <w:tab w:val="left" w:pos="1248"/>
        </w:tabs>
        <w:jc w:val="both"/>
      </w:pPr>
      <w:r>
        <w:lastRenderedPageBreak/>
        <w:t>Máquinas de lavado y secado:</w:t>
      </w:r>
    </w:p>
    <w:p w14:paraId="0A236E3A" w14:textId="2DBC5BBE" w:rsidR="00935770" w:rsidRDefault="00935770" w:rsidP="00935770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Comprar equipos a gas los cuales nos generan mayor tiempo de trabajo y un menor consumo de electricidad</w:t>
      </w:r>
    </w:p>
    <w:p w14:paraId="42782616" w14:textId="77777777" w:rsidR="00935770" w:rsidRDefault="00935770" w:rsidP="00935770">
      <w:pPr>
        <w:pStyle w:val="Prrafodelista"/>
        <w:numPr>
          <w:ilvl w:val="1"/>
          <w:numId w:val="15"/>
        </w:numPr>
        <w:tabs>
          <w:tab w:val="left" w:pos="1248"/>
        </w:tabs>
        <w:jc w:val="both"/>
      </w:pPr>
      <w:r>
        <w:t>Amplio stock de repuestos</w:t>
      </w:r>
    </w:p>
    <w:p w14:paraId="1FE3D00E" w14:textId="5035FEAD" w:rsidR="00935770" w:rsidRDefault="00935770" w:rsidP="007E6C09">
      <w:pPr>
        <w:pStyle w:val="Prrafodelista"/>
        <w:tabs>
          <w:tab w:val="left" w:pos="1248"/>
        </w:tabs>
        <w:ind w:left="1248"/>
        <w:jc w:val="both"/>
      </w:pPr>
      <w:bookmarkStart w:id="0" w:name="_GoBack"/>
      <w:bookmarkEnd w:id="0"/>
      <w:r>
        <w:t xml:space="preserve"> </w:t>
      </w:r>
    </w:p>
    <w:p w14:paraId="5C4DEA47" w14:textId="241AEA6C" w:rsidR="00B52E07" w:rsidRPr="00BB2168" w:rsidRDefault="00B52E07" w:rsidP="00B52E07">
      <w:pPr>
        <w:pStyle w:val="Prrafodelista"/>
        <w:tabs>
          <w:tab w:val="left" w:pos="1248"/>
        </w:tabs>
        <w:jc w:val="both"/>
      </w:pPr>
    </w:p>
    <w:p w14:paraId="48E444AA" w14:textId="77777777" w:rsidR="00F35376" w:rsidRPr="00F35376" w:rsidRDefault="00F35376" w:rsidP="00E0237B">
      <w:pPr>
        <w:tabs>
          <w:tab w:val="left" w:pos="1248"/>
        </w:tabs>
        <w:jc w:val="both"/>
      </w:pPr>
    </w:p>
    <w:p w14:paraId="18589994" w14:textId="13782563" w:rsidR="002B79F4" w:rsidRDefault="002B79F4" w:rsidP="00E0237B">
      <w:pPr>
        <w:tabs>
          <w:tab w:val="left" w:pos="1248"/>
        </w:tabs>
        <w:jc w:val="both"/>
      </w:pPr>
    </w:p>
    <w:p w14:paraId="033F0456" w14:textId="77777777" w:rsidR="002B79F4" w:rsidRDefault="002B79F4" w:rsidP="00E0237B">
      <w:pPr>
        <w:tabs>
          <w:tab w:val="left" w:pos="1248"/>
        </w:tabs>
        <w:jc w:val="both"/>
      </w:pPr>
    </w:p>
    <w:p w14:paraId="638C89E3" w14:textId="5DB0F416" w:rsidR="00FA00D0" w:rsidRDefault="00FA00D0" w:rsidP="00E0237B">
      <w:pPr>
        <w:tabs>
          <w:tab w:val="left" w:pos="1248"/>
        </w:tabs>
        <w:jc w:val="both"/>
      </w:pPr>
    </w:p>
    <w:p w14:paraId="6890DD76" w14:textId="714E241F" w:rsidR="006E7743" w:rsidRDefault="006E7743" w:rsidP="00E0237B">
      <w:pPr>
        <w:tabs>
          <w:tab w:val="left" w:pos="1248"/>
        </w:tabs>
        <w:jc w:val="both"/>
      </w:pPr>
    </w:p>
    <w:p w14:paraId="5DCCB9FD" w14:textId="3DE8DDBB" w:rsidR="006E7743" w:rsidRDefault="006E7743" w:rsidP="00E0237B">
      <w:pPr>
        <w:tabs>
          <w:tab w:val="left" w:pos="1248"/>
        </w:tabs>
        <w:jc w:val="both"/>
      </w:pPr>
    </w:p>
    <w:p w14:paraId="298F1119" w14:textId="1C012748" w:rsidR="006E7743" w:rsidRDefault="006E7743" w:rsidP="00E0237B">
      <w:pPr>
        <w:tabs>
          <w:tab w:val="left" w:pos="1248"/>
        </w:tabs>
        <w:jc w:val="both"/>
      </w:pPr>
    </w:p>
    <w:p w14:paraId="734CC507" w14:textId="34876874" w:rsidR="006E7743" w:rsidRDefault="006E7743" w:rsidP="00E0237B">
      <w:pPr>
        <w:tabs>
          <w:tab w:val="left" w:pos="1248"/>
        </w:tabs>
        <w:jc w:val="both"/>
      </w:pPr>
    </w:p>
    <w:p w14:paraId="49BF00AF" w14:textId="73C5BD63" w:rsidR="006E7743" w:rsidRDefault="006E7743" w:rsidP="00E0237B">
      <w:pPr>
        <w:tabs>
          <w:tab w:val="left" w:pos="1248"/>
        </w:tabs>
        <w:jc w:val="both"/>
      </w:pPr>
    </w:p>
    <w:p w14:paraId="03FF74E8" w14:textId="43C04C3C" w:rsidR="006E7743" w:rsidRDefault="006E7743" w:rsidP="00E0237B">
      <w:pPr>
        <w:tabs>
          <w:tab w:val="left" w:pos="1248"/>
        </w:tabs>
        <w:jc w:val="both"/>
      </w:pPr>
    </w:p>
    <w:p w14:paraId="433978A8" w14:textId="6402DC43" w:rsidR="006E7743" w:rsidRDefault="006E7743" w:rsidP="00E0237B">
      <w:pPr>
        <w:tabs>
          <w:tab w:val="left" w:pos="1248"/>
        </w:tabs>
        <w:jc w:val="both"/>
      </w:pPr>
    </w:p>
    <w:p w14:paraId="5CC8E0F6" w14:textId="4315C724" w:rsidR="006E7743" w:rsidRDefault="006E7743" w:rsidP="00E0237B">
      <w:pPr>
        <w:tabs>
          <w:tab w:val="left" w:pos="1248"/>
        </w:tabs>
        <w:jc w:val="both"/>
      </w:pPr>
    </w:p>
    <w:p w14:paraId="3585813A" w14:textId="77777777" w:rsidR="006E7743" w:rsidRDefault="006E7743" w:rsidP="00E0237B">
      <w:pPr>
        <w:tabs>
          <w:tab w:val="left" w:pos="1248"/>
        </w:tabs>
        <w:jc w:val="both"/>
      </w:pPr>
    </w:p>
    <w:p w14:paraId="2192C506" w14:textId="77777777" w:rsidR="00FA00D0" w:rsidRDefault="00FA00D0" w:rsidP="00E0237B">
      <w:pPr>
        <w:tabs>
          <w:tab w:val="left" w:pos="1248"/>
        </w:tabs>
        <w:jc w:val="both"/>
      </w:pPr>
    </w:p>
    <w:p w14:paraId="293FFD89" w14:textId="6D6AEC54" w:rsidR="005F7E73" w:rsidRDefault="005F7E73" w:rsidP="00E0237B">
      <w:pPr>
        <w:tabs>
          <w:tab w:val="left" w:pos="1248"/>
        </w:tabs>
        <w:jc w:val="both"/>
      </w:pPr>
    </w:p>
    <w:p w14:paraId="39F94DC6" w14:textId="77777777" w:rsidR="005F7E73" w:rsidRDefault="005F7E73" w:rsidP="00E0237B">
      <w:pPr>
        <w:tabs>
          <w:tab w:val="left" w:pos="1248"/>
        </w:tabs>
        <w:jc w:val="both"/>
      </w:pPr>
    </w:p>
    <w:p w14:paraId="27D576BF" w14:textId="68596B79" w:rsidR="00FA00D0" w:rsidRDefault="00FA00D0" w:rsidP="00E0237B">
      <w:pPr>
        <w:tabs>
          <w:tab w:val="left" w:pos="1248"/>
        </w:tabs>
        <w:jc w:val="both"/>
      </w:pPr>
    </w:p>
    <w:p w14:paraId="3EB05140" w14:textId="77777777" w:rsidR="00EC1E08" w:rsidRDefault="00EC1E08" w:rsidP="00E0237B">
      <w:pPr>
        <w:tabs>
          <w:tab w:val="left" w:pos="1248"/>
        </w:tabs>
        <w:jc w:val="both"/>
      </w:pPr>
    </w:p>
    <w:p w14:paraId="5F2DC938" w14:textId="77777777" w:rsidR="00EC1E08" w:rsidRDefault="00EC1E08" w:rsidP="00EC1E08">
      <w:pPr>
        <w:pStyle w:val="Prrafodelista"/>
        <w:jc w:val="both"/>
      </w:pPr>
    </w:p>
    <w:p w14:paraId="0427C58A" w14:textId="77777777" w:rsidR="00463790" w:rsidRDefault="00463790" w:rsidP="00463790">
      <w:pPr>
        <w:jc w:val="both"/>
      </w:pPr>
    </w:p>
    <w:p w14:paraId="185A97A2" w14:textId="77777777" w:rsidR="00463790" w:rsidRDefault="00463790" w:rsidP="00463790">
      <w:pPr>
        <w:jc w:val="both"/>
      </w:pPr>
    </w:p>
    <w:p w14:paraId="79ADC5E7" w14:textId="506E8AEC" w:rsidR="00031FEE" w:rsidRDefault="00031FEE" w:rsidP="00031FEE">
      <w:pPr>
        <w:jc w:val="both"/>
      </w:pPr>
    </w:p>
    <w:p w14:paraId="23FCA0E1" w14:textId="63B3109C" w:rsidR="005E1C83" w:rsidRDefault="005E1C83" w:rsidP="00031FEE">
      <w:pPr>
        <w:jc w:val="both"/>
      </w:pPr>
    </w:p>
    <w:sectPr w:rsidR="005E1C83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C8863" w14:textId="77777777" w:rsidR="0054255C" w:rsidRDefault="0054255C" w:rsidP="00BD2909">
      <w:pPr>
        <w:spacing w:after="0" w:line="240" w:lineRule="auto"/>
      </w:pPr>
      <w:r>
        <w:separator/>
      </w:r>
    </w:p>
  </w:endnote>
  <w:endnote w:type="continuationSeparator" w:id="0">
    <w:p w14:paraId="012F0D86" w14:textId="77777777" w:rsidR="0054255C" w:rsidRDefault="0054255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398F1E96" w14:textId="79B267FD" w:rsidR="0024356C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</w:p>
      </w:tc>
      <w:tc>
        <w:tcPr>
          <w:tcW w:w="2943" w:type="dxa"/>
          <w:shd w:val="clear" w:color="auto" w:fill="auto"/>
        </w:tcPr>
        <w:p w14:paraId="42952F9E" w14:textId="064310EA" w:rsidR="0024356C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</w:p>
      </w:tc>
      <w:tc>
        <w:tcPr>
          <w:tcW w:w="2943" w:type="dxa"/>
          <w:shd w:val="clear" w:color="auto" w:fill="auto"/>
        </w:tcPr>
        <w:p w14:paraId="7050930B" w14:textId="2AAF1F3F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4861" w14:textId="77777777" w:rsidR="0054255C" w:rsidRDefault="0054255C" w:rsidP="00BD2909">
      <w:pPr>
        <w:spacing w:after="0" w:line="240" w:lineRule="auto"/>
      </w:pPr>
      <w:r>
        <w:separator/>
      </w:r>
    </w:p>
  </w:footnote>
  <w:footnote w:type="continuationSeparator" w:id="0">
    <w:p w14:paraId="5950F709" w14:textId="77777777" w:rsidR="0054255C" w:rsidRDefault="0054255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704923F6" w:rsidR="0024356C" w:rsidRPr="00134E2D" w:rsidRDefault="00A824E3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PG-XX</w:t>
          </w:r>
          <w:r w:rsidR="00FC02BF">
            <w:rPr>
              <w:sz w:val="18"/>
              <w:szCs w:val="20"/>
            </w:rPr>
            <w:t>-01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65A398B5" w:rsidR="0024356C" w:rsidRPr="00134E2D" w:rsidRDefault="00A824E3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EQUIPOS EFICIENTES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6683634D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7E6C09">
            <w:rPr>
              <w:rStyle w:val="Nmerodepgina"/>
              <w:rFonts w:ascii="Arial" w:hAnsi="Arial" w:cs="Arial"/>
              <w:noProof/>
              <w:sz w:val="18"/>
              <w:szCs w:val="20"/>
            </w:rPr>
            <w:t>2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7E6C09">
            <w:rPr>
              <w:rStyle w:val="Nmerodepgina"/>
              <w:rFonts w:ascii="Arial" w:hAnsi="Arial" w:cs="Arial"/>
              <w:noProof/>
              <w:sz w:val="18"/>
              <w:szCs w:val="20"/>
            </w:rPr>
            <w:t>2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B22"/>
    <w:multiLevelType w:val="hybridMultilevel"/>
    <w:tmpl w:val="39E437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F136B"/>
    <w:multiLevelType w:val="multilevel"/>
    <w:tmpl w:val="D9481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2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5760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4356C"/>
    <w:rsid w:val="002648F9"/>
    <w:rsid w:val="002959B4"/>
    <w:rsid w:val="002B79F4"/>
    <w:rsid w:val="002C76BA"/>
    <w:rsid w:val="002D05E0"/>
    <w:rsid w:val="002E420F"/>
    <w:rsid w:val="002F2151"/>
    <w:rsid w:val="002F232B"/>
    <w:rsid w:val="002F2C18"/>
    <w:rsid w:val="002F718D"/>
    <w:rsid w:val="00307E6F"/>
    <w:rsid w:val="0032138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63790"/>
    <w:rsid w:val="004A6511"/>
    <w:rsid w:val="004D45DB"/>
    <w:rsid w:val="004E6035"/>
    <w:rsid w:val="00502CE9"/>
    <w:rsid w:val="005070D2"/>
    <w:rsid w:val="005135B3"/>
    <w:rsid w:val="0054255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F7E73"/>
    <w:rsid w:val="006010D3"/>
    <w:rsid w:val="00604717"/>
    <w:rsid w:val="00617DE3"/>
    <w:rsid w:val="00633412"/>
    <w:rsid w:val="0064755D"/>
    <w:rsid w:val="00650C1D"/>
    <w:rsid w:val="0065461D"/>
    <w:rsid w:val="006713C7"/>
    <w:rsid w:val="006C4FE2"/>
    <w:rsid w:val="006C79C8"/>
    <w:rsid w:val="006E7743"/>
    <w:rsid w:val="00701F9E"/>
    <w:rsid w:val="007132A2"/>
    <w:rsid w:val="0076186C"/>
    <w:rsid w:val="0076227B"/>
    <w:rsid w:val="0078142A"/>
    <w:rsid w:val="0078611D"/>
    <w:rsid w:val="007D2995"/>
    <w:rsid w:val="007D424A"/>
    <w:rsid w:val="007E6C09"/>
    <w:rsid w:val="00812F00"/>
    <w:rsid w:val="008177C9"/>
    <w:rsid w:val="00835E64"/>
    <w:rsid w:val="00842F41"/>
    <w:rsid w:val="008555DC"/>
    <w:rsid w:val="0085642A"/>
    <w:rsid w:val="00886278"/>
    <w:rsid w:val="0089044F"/>
    <w:rsid w:val="00893C5D"/>
    <w:rsid w:val="0091138D"/>
    <w:rsid w:val="00911E6E"/>
    <w:rsid w:val="009171F8"/>
    <w:rsid w:val="00921363"/>
    <w:rsid w:val="00935770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824E3"/>
    <w:rsid w:val="00A958AB"/>
    <w:rsid w:val="00AC2BFF"/>
    <w:rsid w:val="00AC43CD"/>
    <w:rsid w:val="00AD7A62"/>
    <w:rsid w:val="00B20DF5"/>
    <w:rsid w:val="00B32BEF"/>
    <w:rsid w:val="00B52E07"/>
    <w:rsid w:val="00B54196"/>
    <w:rsid w:val="00B62872"/>
    <w:rsid w:val="00B8374F"/>
    <w:rsid w:val="00B847DC"/>
    <w:rsid w:val="00B8614B"/>
    <w:rsid w:val="00BB2168"/>
    <w:rsid w:val="00BC3D0B"/>
    <w:rsid w:val="00BC5A8D"/>
    <w:rsid w:val="00BD2909"/>
    <w:rsid w:val="00BD5712"/>
    <w:rsid w:val="00BF5156"/>
    <w:rsid w:val="00C14BF0"/>
    <w:rsid w:val="00C613B2"/>
    <w:rsid w:val="00CA1689"/>
    <w:rsid w:val="00CC2A39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75F08"/>
    <w:rsid w:val="00E942F2"/>
    <w:rsid w:val="00EC1E08"/>
    <w:rsid w:val="00F11022"/>
    <w:rsid w:val="00F24E0C"/>
    <w:rsid w:val="00F24F8D"/>
    <w:rsid w:val="00F258DA"/>
    <w:rsid w:val="00F3061D"/>
    <w:rsid w:val="00F35376"/>
    <w:rsid w:val="00F41548"/>
    <w:rsid w:val="00F5071C"/>
    <w:rsid w:val="00F61FF0"/>
    <w:rsid w:val="00F6365D"/>
    <w:rsid w:val="00F7018C"/>
    <w:rsid w:val="00F83CCA"/>
    <w:rsid w:val="00F845DE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8</cp:revision>
  <dcterms:created xsi:type="dcterms:W3CDTF">2017-11-17T13:41:00Z</dcterms:created>
  <dcterms:modified xsi:type="dcterms:W3CDTF">2018-03-08T15:40:00Z</dcterms:modified>
</cp:coreProperties>
</file>