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D520" w14:textId="55F0983F" w:rsidR="00F33CA0" w:rsidRDefault="003D06D9" w:rsidP="00D50F35">
      <w:pPr>
        <w:rPr>
          <w:color w:val="000000"/>
          <w:lang w:eastAsia="es-MX"/>
        </w:rPr>
      </w:pPr>
      <w:r>
        <w:rPr>
          <w:lang w:val="es-MX"/>
        </w:rPr>
        <w:t>El H</w:t>
      </w:r>
      <w:r w:rsidR="00086500" w:rsidRPr="00C623CC">
        <w:rPr>
          <w:lang w:val="es-MX"/>
        </w:rPr>
        <w:t xml:space="preserve">otel </w:t>
      </w:r>
      <w:r w:rsidR="00166567" w:rsidRPr="00C623CC">
        <w:rPr>
          <w:lang w:val="es-MX"/>
        </w:rPr>
        <w:t>Arenal Springs Resort &amp; Spa</w:t>
      </w:r>
      <w:r w:rsidR="00C623CC">
        <w:rPr>
          <w:lang w:val="es-MX"/>
        </w:rPr>
        <w:t xml:space="preserve"> </w:t>
      </w:r>
      <w:r w:rsidR="00C623CC">
        <w:rPr>
          <w:color w:val="000000"/>
          <w:lang w:eastAsia="es-MX"/>
        </w:rPr>
        <w:t>inició la gestión del carbono en la empresa en el año 2012 inventariando sus emisiones de GEI y reforzando iniciativas de mitigación de emisiones que ya había iniciado. Las acciones de mitigación desarrolladas contemplan la instalación de calen</w:t>
      </w:r>
      <w:r>
        <w:rPr>
          <w:color w:val="000000"/>
          <w:lang w:eastAsia="es-MX"/>
        </w:rPr>
        <w:t>tadores solares de agua en el 80</w:t>
      </w:r>
      <w:r w:rsidR="00C623CC">
        <w:rPr>
          <w:color w:val="000000"/>
          <w:lang w:eastAsia="es-MX"/>
        </w:rPr>
        <w:t xml:space="preserve">% de las habitaciones, La construcción y el mantenimiento de biodigestores donde se procesan los residuos orgánicos de los restaurantes (cuyo biogás es utilizado para tareas de cocina en dos restaurantes). </w:t>
      </w:r>
      <w:r>
        <w:rPr>
          <w:color w:val="000000"/>
          <w:lang w:eastAsia="es-MX"/>
        </w:rPr>
        <w:t>Asimismo,</w:t>
      </w:r>
      <w:r w:rsidR="00C623CC">
        <w:rPr>
          <w:color w:val="000000"/>
          <w:lang w:eastAsia="es-MX"/>
        </w:rPr>
        <w:t xml:space="preserve"> la empresa mantiene huertas orgánicas que abastecen a sus restaurantes y ha establecido una planta productora de biodiesel que durante el 2017 produjo 2.000 litros.</w:t>
      </w:r>
      <w:r w:rsidR="00E25E18">
        <w:rPr>
          <w:color w:val="000000"/>
          <w:lang w:eastAsia="es-MX"/>
        </w:rPr>
        <w:t xml:space="preserve"> </w:t>
      </w:r>
    </w:p>
    <w:p w14:paraId="3059B175" w14:textId="3680CA7F" w:rsidR="00F33CA0" w:rsidRPr="00E25E18" w:rsidRDefault="00E25E18" w:rsidP="00E25E18">
      <w:pPr>
        <w:rPr>
          <w:lang w:val="es-MX"/>
        </w:rPr>
      </w:pPr>
      <w:r>
        <w:rPr>
          <w:color w:val="000000"/>
          <w:lang w:eastAsia="es-MX"/>
        </w:rPr>
        <w:t xml:space="preserve">Se le ha dado la continuidad por medio </w:t>
      </w:r>
      <w:r w:rsidR="0055268B">
        <w:rPr>
          <w:color w:val="000000"/>
          <w:lang w:eastAsia="es-MX"/>
        </w:rPr>
        <w:t>del inventario</w:t>
      </w:r>
      <w:r>
        <w:rPr>
          <w:color w:val="000000"/>
          <w:lang w:eastAsia="es-MX"/>
        </w:rPr>
        <w:t xml:space="preserve"> de gas efecto invernadero para así presentarlo en las siguientes tablas.  </w:t>
      </w:r>
      <w:r w:rsidR="0041719E" w:rsidRPr="00E25E18">
        <w:rPr>
          <w:lang w:val="es-MX"/>
        </w:rPr>
        <w:tab/>
      </w:r>
    </w:p>
    <w:p w14:paraId="5C840D70" w14:textId="74E35E7F" w:rsidR="00D1694B" w:rsidRPr="00C623CC" w:rsidRDefault="0055268B" w:rsidP="00F33CA0">
      <w:pPr>
        <w:pStyle w:val="Prrafodelista"/>
        <w:rPr>
          <w:noProof/>
          <w:lang w:val="es-MX" w:eastAsia="es-MX"/>
        </w:rPr>
      </w:pP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3C1A8BFB" wp14:editId="006BC7C9">
            <wp:simplePos x="0" y="0"/>
            <wp:positionH relativeFrom="column">
              <wp:posOffset>3423031</wp:posOffset>
            </wp:positionH>
            <wp:positionV relativeFrom="paragraph">
              <wp:posOffset>11176</wp:posOffset>
            </wp:positionV>
            <wp:extent cx="5624575" cy="35750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6" t="19180" r="17891"/>
                    <a:stretch/>
                  </pic:blipFill>
                  <pic:spPr bwMode="auto">
                    <a:xfrm>
                      <a:off x="0" y="0"/>
                      <a:ext cx="5624575" cy="357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E18" w:rsidRPr="00E25E18"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0528D8AD" wp14:editId="0BAD0258">
            <wp:simplePos x="0" y="0"/>
            <wp:positionH relativeFrom="column">
              <wp:posOffset>-584809</wp:posOffset>
            </wp:positionH>
            <wp:positionV relativeFrom="paragraph">
              <wp:posOffset>215215</wp:posOffset>
            </wp:positionV>
            <wp:extent cx="3947768" cy="29608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768" cy="296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46498" w14:textId="0EB3DB9D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5CAB83F3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1891D3F9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3DBF5C26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6681AD74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C623CC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C623CC">
        <w:rPr>
          <w:noProof/>
          <w:lang w:val="es-MX" w:eastAsia="es-MX"/>
        </w:rPr>
        <w:tab/>
      </w:r>
    </w:p>
    <w:p w14:paraId="698AB2FD" w14:textId="7B83CAE5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C623CC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C623CC">
        <w:rPr>
          <w:noProof/>
          <w:lang w:val="es-MX" w:eastAsia="es-MX"/>
        </w:rPr>
        <w:tab/>
      </w:r>
    </w:p>
    <w:p w14:paraId="1812A275" w14:textId="4784F39D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C623CC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C623CC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C623CC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C623CC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C623CC" w:rsidRDefault="00F33CA0" w:rsidP="00F33CA0">
      <w:pPr>
        <w:pStyle w:val="Prrafodelista"/>
        <w:rPr>
          <w:lang w:val="es-MX"/>
        </w:rPr>
      </w:pPr>
    </w:p>
    <w:tbl>
      <w:tblPr>
        <w:tblW w:w="9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559"/>
        <w:gridCol w:w="1701"/>
        <w:gridCol w:w="1843"/>
        <w:gridCol w:w="2670"/>
      </w:tblGrid>
      <w:tr w:rsidR="0055268B" w:rsidRPr="004C5EB5" w14:paraId="27A7BA2F" w14:textId="77777777" w:rsidTr="00EF6137">
        <w:trPr>
          <w:trHeight w:val="480"/>
          <w:jc w:val="center"/>
        </w:trPr>
        <w:tc>
          <w:tcPr>
            <w:tcW w:w="9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59EC992" w14:textId="77777777" w:rsidR="0055268B" w:rsidRPr="00432986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lang w:val="es-ES" w:eastAsia="es-ES"/>
              </w:rPr>
              <w:t>ARENAL SPRINGS - RESORT &amp; SPA</w:t>
            </w:r>
          </w:p>
        </w:tc>
      </w:tr>
      <w:tr w:rsidR="0055268B" w:rsidRPr="004C5EB5" w14:paraId="222AE1D9" w14:textId="77777777" w:rsidTr="00EF6137">
        <w:trPr>
          <w:trHeight w:val="480"/>
          <w:jc w:val="center"/>
        </w:trPr>
        <w:tc>
          <w:tcPr>
            <w:tcW w:w="98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689E763D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EMPRESA CARBONO NEUTRAL 2012 - 2013</w:t>
            </w:r>
          </w:p>
        </w:tc>
      </w:tr>
      <w:tr w:rsidR="0055268B" w:rsidRPr="004C5EB5" w14:paraId="30A40DC2" w14:textId="77777777" w:rsidTr="00EF6137">
        <w:trPr>
          <w:trHeight w:val="390"/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26F395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4C5E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TIPO DE EMISIONES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B8C59" w14:textId="77777777" w:rsidR="0055268B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Emisiones</w:t>
            </w:r>
          </w:p>
          <w:p w14:paraId="5223F76A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8C45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ES" w:eastAsia="es-ES"/>
              </w:rPr>
              <w:t>(Ton  CO</w:t>
            </w:r>
            <w:r w:rsidRPr="008C45D3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val="es-ES" w:eastAsia="es-ES"/>
              </w:rPr>
              <w:t>2eq)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7897B" w14:textId="77777777" w:rsidR="0055268B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4C5E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PORCENTAJES</w:t>
            </w:r>
          </w:p>
          <w:p w14:paraId="0FC203B6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5104C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COSTOS ASOCIADOS * </w:t>
            </w:r>
            <w:r w:rsidRPr="006A785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4"/>
                <w:lang w:val="es-ES" w:eastAsia="es-ES"/>
              </w:rPr>
              <w:t>(U$S)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EE969" w14:textId="77777777" w:rsidR="0055268B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Fondo de Carbono </w:t>
            </w:r>
          </w:p>
          <w:p w14:paraId="7CED24A7" w14:textId="77777777" w:rsidR="0055268B" w:rsidRPr="00D03807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03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Arenal Springs</w:t>
            </w:r>
          </w:p>
        </w:tc>
      </w:tr>
      <w:tr w:rsidR="0055268B" w:rsidRPr="004C5EB5" w14:paraId="485A7CFE" w14:textId="77777777" w:rsidTr="00EF6137">
        <w:trPr>
          <w:trHeight w:val="390"/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0A551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4C5E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DIRECTAS (Combustibles)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</w:tcPr>
          <w:p w14:paraId="33C2E619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  <w:t>231,08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22678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48,8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ABE30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2310,8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EDCD4" w14:textId="77777777" w:rsidR="0055268B" w:rsidRPr="00C81C77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  <w:t>Producción biodiesel</w:t>
            </w:r>
          </w:p>
        </w:tc>
      </w:tr>
      <w:tr w:rsidR="0055268B" w:rsidRPr="004C5EB5" w14:paraId="0344AB10" w14:textId="77777777" w:rsidTr="00EF6137">
        <w:trPr>
          <w:trHeight w:val="39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9FD28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4C5E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INDIRECTAS ENERGIA ELECTRICA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</w:tcPr>
          <w:p w14:paraId="2CF1BC0D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  <w:t>203,42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8145D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2253A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2034,2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AFC10" w14:textId="77777777" w:rsidR="0055268B" w:rsidRPr="00C81C77" w:rsidRDefault="0055268B" w:rsidP="00EF6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  <w:t>Inversiones eficiencia energética en habitaciones / hotel</w:t>
            </w:r>
          </w:p>
        </w:tc>
      </w:tr>
      <w:tr w:rsidR="0055268B" w:rsidRPr="004C5EB5" w14:paraId="6A62858F" w14:textId="77777777" w:rsidTr="00EF6137">
        <w:trPr>
          <w:trHeight w:val="390"/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32F98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4C5E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INDIRECTAS DESECHOS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0000"/>
            <w:vAlign w:val="center"/>
          </w:tcPr>
          <w:p w14:paraId="0425DB0F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  <w:t>38,60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8AEB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2340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386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42BD6" w14:textId="77777777" w:rsidR="0055268B" w:rsidRPr="009F5E73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s-ES" w:eastAsia="es-ES"/>
              </w:rPr>
              <w:t>Producción biodiesel</w:t>
            </w:r>
          </w:p>
        </w:tc>
      </w:tr>
      <w:tr w:rsidR="0055268B" w:rsidRPr="004C5EB5" w14:paraId="25065686" w14:textId="77777777" w:rsidTr="00EF6137">
        <w:trPr>
          <w:trHeight w:val="825"/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60AAB077" w14:textId="77777777" w:rsidR="0055268B" w:rsidRPr="004C5EB5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s-ES" w:eastAsia="es-ES"/>
              </w:rPr>
            </w:pPr>
            <w:r w:rsidRPr="004C5EB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s-ES" w:eastAsia="es-ES"/>
              </w:rPr>
              <w:t>TOTAL DE EMISIONES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</w:tcPr>
          <w:p w14:paraId="0F40A631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  <w:t>473,11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14:paraId="3E345AED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</w:pPr>
            <w:r w:rsidRPr="005E67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  <w:t xml:space="preserve">    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14:paraId="7991079E" w14:textId="77777777" w:rsidR="0055268B" w:rsidRPr="005E67F8" w:rsidRDefault="0055268B" w:rsidP="00EF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28"/>
              </w:rPr>
              <w:t>4731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</w:tcPr>
          <w:p w14:paraId="4BDE2A37" w14:textId="77777777" w:rsidR="0055268B" w:rsidRPr="004C5EB5" w:rsidRDefault="0055268B" w:rsidP="00EF61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s-ES" w:eastAsia="es-ES"/>
              </w:rPr>
            </w:pPr>
          </w:p>
        </w:tc>
      </w:tr>
    </w:tbl>
    <w:p w14:paraId="4DA8796B" w14:textId="6D3039A4" w:rsidR="00F33CA0" w:rsidRPr="00C623CC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C623CC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C623CC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C623CC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C623CC" w:rsidRDefault="00F33CA0" w:rsidP="00F33CA0">
      <w:pPr>
        <w:pStyle w:val="Prrafodelista"/>
        <w:rPr>
          <w:lang w:val="es-MX"/>
        </w:rPr>
      </w:pPr>
    </w:p>
    <w:p w14:paraId="0575D765" w14:textId="330EE547" w:rsidR="00024E88" w:rsidRPr="00C623CC" w:rsidRDefault="00024E88" w:rsidP="00B0253D">
      <w:pPr>
        <w:rPr>
          <w:sz w:val="24"/>
          <w:lang w:val="es-MX"/>
        </w:rPr>
      </w:pPr>
      <w:bookmarkStart w:id="0" w:name="_GoBack"/>
      <w:bookmarkEnd w:id="0"/>
    </w:p>
    <w:sectPr w:rsidR="00024E88" w:rsidRPr="00C623CC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8240" w14:textId="77777777" w:rsidR="00916BE4" w:rsidRDefault="00916BE4" w:rsidP="00BD2909">
      <w:pPr>
        <w:spacing w:after="0" w:line="240" w:lineRule="auto"/>
      </w:pPr>
      <w:r>
        <w:separator/>
      </w:r>
    </w:p>
  </w:endnote>
  <w:endnote w:type="continuationSeparator" w:id="0">
    <w:p w14:paraId="7E76A33A" w14:textId="77777777" w:rsidR="00916BE4" w:rsidRDefault="00916BE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66E48FF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D06D9" w:rsidRPr="003D06D9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EFF4" w14:textId="77777777" w:rsidR="00916BE4" w:rsidRDefault="00916BE4" w:rsidP="00BD2909">
      <w:pPr>
        <w:spacing w:after="0" w:line="240" w:lineRule="auto"/>
      </w:pPr>
      <w:r>
        <w:separator/>
      </w:r>
    </w:p>
  </w:footnote>
  <w:footnote w:type="continuationSeparator" w:id="0">
    <w:p w14:paraId="74D89806" w14:textId="77777777" w:rsidR="00916BE4" w:rsidRDefault="00916BE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9B721E7" w:rsidR="00BD2909" w:rsidRPr="00CD4747" w:rsidRDefault="003D06D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B230115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D06D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D06D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06D9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5268B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6BE4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15041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623CC"/>
    <w:rsid w:val="00C83842"/>
    <w:rsid w:val="00CA1689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25E18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602737"/>
    <w:rsid w:val="0094751A"/>
    <w:rsid w:val="009B0AA0"/>
    <w:rsid w:val="009E1FD0"/>
    <w:rsid w:val="00A94F45"/>
    <w:rsid w:val="00B02FD5"/>
    <w:rsid w:val="00BC6A7F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4</cp:revision>
  <dcterms:created xsi:type="dcterms:W3CDTF">2018-04-06T00:47:00Z</dcterms:created>
  <dcterms:modified xsi:type="dcterms:W3CDTF">2018-04-06T14:34:00Z</dcterms:modified>
</cp:coreProperties>
</file>