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D" w:rsidRDefault="00A73D4A">
      <w:r>
        <w:t>Ag</w:t>
      </w:r>
      <w:r w:rsidR="00CC06B4">
        <w:t>uas residuales</w:t>
      </w:r>
    </w:p>
    <w:p w:rsidR="00CC06B4" w:rsidRDefault="00CC06B4"/>
    <w:p w:rsidR="00CC06B4" w:rsidRDefault="00CC06B4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Las aguas residuales no deben causar problemas de contaminación que pongan en riesgo la salud de las personas o que causen deterioro de los atractivos turísticos.</w:t>
      </w:r>
      <w:r w:rsidR="007E54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E540D">
        <w:rPr>
          <w:rFonts w:ascii="Calibri" w:hAnsi="Calibri" w:cs="Calibri"/>
          <w:sz w:val="24"/>
          <w:szCs w:val="24"/>
        </w:rPr>
        <w:t>Una mala evacuación de aguas, servidas o de lluvia puede generar problemas serios en el entorno que van desde la erosión hasta la contaminación.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¿Qué se espera?</w:t>
      </w:r>
    </w:p>
    <w:p w:rsidR="00CC06B4" w:rsidRDefault="007E540D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CC06B4">
        <w:rPr>
          <w:rFonts w:ascii="Calibri" w:hAnsi="Calibri" w:cs="Calibri"/>
          <w:color w:val="000000"/>
          <w:sz w:val="24"/>
          <w:szCs w:val="24"/>
        </w:rPr>
        <w:t xml:space="preserve">Que las aguas residuales cumplan con los estándares (composición </w:t>
      </w:r>
      <w:proofErr w:type="spellStart"/>
      <w:r w:rsidR="00CC06B4">
        <w:rPr>
          <w:rFonts w:ascii="Calibri" w:hAnsi="Calibri" w:cs="Calibri"/>
          <w:color w:val="000000"/>
          <w:sz w:val="24"/>
          <w:szCs w:val="24"/>
        </w:rPr>
        <w:t>fisico</w:t>
      </w:r>
      <w:proofErr w:type="spellEnd"/>
      <w:r w:rsidR="00CC06B4">
        <w:rPr>
          <w:rFonts w:ascii="Calibri" w:hAnsi="Calibri" w:cs="Calibri"/>
          <w:color w:val="000000"/>
          <w:sz w:val="24"/>
          <w:szCs w:val="24"/>
        </w:rPr>
        <w:t xml:space="preserve">‐química) de calidad antes de que sean evacuadas del </w:t>
      </w:r>
      <w:r>
        <w:rPr>
          <w:rFonts w:ascii="Calibri" w:hAnsi="Calibri" w:cs="Calibri"/>
          <w:color w:val="000000"/>
          <w:sz w:val="24"/>
          <w:szCs w:val="24"/>
        </w:rPr>
        <w:t>establecimiento</w:t>
      </w:r>
      <w:r w:rsidR="00CC06B4">
        <w:rPr>
          <w:rFonts w:ascii="Calibri" w:hAnsi="Calibri" w:cs="Calibri"/>
          <w:color w:val="000000"/>
          <w:sz w:val="24"/>
          <w:szCs w:val="24"/>
        </w:rPr>
        <w:t>.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∙ Que la disposición final de aguas no cause impactos negativos en el entorno.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∙ Incentivar el uso de métodos de reutilización de aguas cuando esto sea posible</w:t>
      </w:r>
    </w:p>
    <w:p w:rsidR="007E540D" w:rsidRDefault="007E540D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Prácticas recomendadas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Monitorear la composición y calidad de las aguas residuales con base en los estándares fijados para este propósito.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Tener el Certificado de Calidad de Agua emitido por el Ministerio de Salud. Al momento de la evaluación, se debe presentar el correspondiente certificado, debidamente actualizado y oficializado.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Instalar cuando sea necesario, sistemas de tratamiento para aguas residuales que permitan alcanzar los estándares de calidad previstos.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Estos sistemas podrían ser de: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Disminución en la fuente</w:t>
      </w:r>
      <w:r>
        <w:rPr>
          <w:rFonts w:ascii="Calibri" w:hAnsi="Calibri" w:cs="Calibri"/>
          <w:color w:val="000000"/>
          <w:sz w:val="24"/>
          <w:szCs w:val="24"/>
        </w:rPr>
        <w:t>. Reducción de la cantidad de contaminantes en los puntos donde son generados para evitar su incorporación en los flujos de aguas residuales.</w:t>
      </w:r>
    </w:p>
    <w:p w:rsidR="00CC06B4" w:rsidRDefault="00CC06B4" w:rsidP="00CC0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Tratamiento final</w:t>
      </w:r>
      <w:r>
        <w:rPr>
          <w:rFonts w:ascii="Calibri" w:hAnsi="Calibri" w:cs="Calibri"/>
          <w:color w:val="000000"/>
          <w:sz w:val="24"/>
          <w:szCs w:val="24"/>
        </w:rPr>
        <w:t>. Conocidos como plantas de tratamiento ubicadas en el colector final de las aguas residuales. Existen varios tipos tales como estabilización anaeróbica, lagunas de oxidación, estabilización de lodos, y otros más.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establecimiento debe garantizar que: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No tiene efectos negativos sobre el medio ambiente (contaminación, erosión, encharcamiento y otros, o representa riesgos para la salud)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Se realiza con un método adecuado tal como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</w:t>
      </w:r>
      <w:r>
        <w:rPr>
          <w:rFonts w:ascii="Wingdings-Regular" w:eastAsia="Wingdings-Regular" w:hAnsi="Calibri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>Evacuación hacia la red de alcantarillado sanitario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</w:t>
      </w:r>
      <w:r>
        <w:rPr>
          <w:rFonts w:ascii="Wingdings-Regular" w:eastAsia="Wingdings-Regular" w:hAnsi="Calibri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Evacuación hacia </w:t>
      </w:r>
      <w:proofErr w:type="gramStart"/>
      <w:r>
        <w:rPr>
          <w:rFonts w:ascii="Calibri" w:hAnsi="Calibri" w:cs="Calibri"/>
          <w:sz w:val="24"/>
          <w:szCs w:val="24"/>
        </w:rPr>
        <w:t>un</w:t>
      </w:r>
      <w:proofErr w:type="gramEnd"/>
      <w:r>
        <w:rPr>
          <w:rFonts w:ascii="Calibri" w:hAnsi="Calibri" w:cs="Calibri"/>
          <w:sz w:val="24"/>
          <w:szCs w:val="24"/>
        </w:rPr>
        <w:t xml:space="preserve"> cuerpo de agua utilizando tubería adecuada y cajas finales de registro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</w:t>
      </w:r>
      <w:r>
        <w:rPr>
          <w:rFonts w:ascii="Wingdings-Regular" w:eastAsia="Wingdings-Regular" w:hAnsi="Calibri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>Infiltración sobre sistemas diseñados (</w:t>
      </w:r>
      <w:proofErr w:type="gramStart"/>
      <w:r>
        <w:rPr>
          <w:rFonts w:ascii="Calibri" w:hAnsi="Calibri" w:cs="Calibri"/>
          <w:sz w:val="24"/>
          <w:szCs w:val="24"/>
        </w:rPr>
        <w:t>roca</w:t>
      </w:r>
      <w:proofErr w:type="gramEnd"/>
      <w:r>
        <w:rPr>
          <w:rFonts w:ascii="Calibri" w:hAnsi="Calibri" w:cs="Calibri"/>
          <w:sz w:val="24"/>
          <w:szCs w:val="24"/>
        </w:rPr>
        <w:t>, arcilla, etc.)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</w:t>
      </w:r>
      <w:r>
        <w:rPr>
          <w:rFonts w:ascii="Wingdings-Regular" w:eastAsia="Wingdings-Regular" w:hAnsi="Calibri" w:cs="Wingdings-Regular"/>
          <w:sz w:val="20"/>
          <w:szCs w:val="20"/>
        </w:rPr>
        <w:t xml:space="preserve"> </w:t>
      </w:r>
      <w:r>
        <w:rPr>
          <w:rFonts w:ascii="Calibri" w:hAnsi="Calibri" w:cs="Calibri"/>
          <w:sz w:val="24"/>
          <w:szCs w:val="24"/>
        </w:rPr>
        <w:t>Reutilización: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Cuando se reutilice agua, debe garantizarse: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Un uso específico para estas aguas tal como riego, en tanques de inodoros, fuentes decorativas, estanques, lagos y otros más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No hay mezcla entre aguas tratadas y aguas para consumo humano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Rotulación adecuada como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agua no apta para consumo humano </w:t>
      </w:r>
      <w:r>
        <w:rPr>
          <w:rFonts w:ascii="Calibri" w:hAnsi="Calibri" w:cs="Calibri"/>
          <w:sz w:val="24"/>
          <w:szCs w:val="24"/>
        </w:rPr>
        <w:t>cuando se utilice en sitios de uso público (fuentes, lagos, estanques o riego por ejemplo)</w:t>
      </w:r>
    </w:p>
    <w:p w:rsidR="00CC06B4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Riego por goteo o con tubo poroso pero no por aspersión.</w:t>
      </w:r>
    </w:p>
    <w:p w:rsidR="007E540D" w:rsidRDefault="007E540D" w:rsidP="007E54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C06B4" w:rsidRPr="00A73D4A" w:rsidRDefault="00CC06B4" w:rsidP="00A73D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Los estándares de calidad son fijados por el Estado y aplican para cualquier empresa hotelera, independientemente de su ubicación. Una referencia sobre los estándares se encuentra en el Decreto Ejecutivo Nº 26042‐S‐MINAE publicado el 19 de junio de</w:t>
      </w:r>
      <w:r w:rsidR="00A73D4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1995, en la Gaceta N 117.</w:t>
      </w:r>
    </w:p>
    <w:sectPr w:rsidR="00CC06B4" w:rsidRPr="00A73D4A" w:rsidSect="0082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6B4"/>
    <w:rsid w:val="004E4313"/>
    <w:rsid w:val="007E540D"/>
    <w:rsid w:val="00821938"/>
    <w:rsid w:val="00A73D4A"/>
    <w:rsid w:val="00B233DB"/>
    <w:rsid w:val="00CC06B4"/>
    <w:rsid w:val="00E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2017-06-12T20:39:00Z</dcterms:created>
  <dcterms:modified xsi:type="dcterms:W3CDTF">2017-06-16T09:54:00Z</dcterms:modified>
</cp:coreProperties>
</file>