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13" w:rsidRDefault="000E4713" w:rsidP="000E4713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Para su cumplimiento se debe:</w:t>
      </w:r>
    </w:p>
    <w:p w:rsidR="000E4713" w:rsidRDefault="000E4713" w:rsidP="000E4713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No haber incumplido la ley o no tener un juicio. </w:t>
      </w:r>
      <w:r>
        <w:rPr>
          <w:rFonts w:ascii="Arial" w:hAnsi="Arial" w:cs="Arial"/>
          <w:color w:val="444444"/>
          <w:sz w:val="21"/>
          <w:szCs w:val="21"/>
        </w:rPr>
        <w:br/>
        <w:t>2. Documentar un método que garantice la identificación y actualización de los requisitos legales aplicables y otros requisitos. SUBIR </w:t>
      </w:r>
      <w:r>
        <w:rPr>
          <w:rFonts w:ascii="Arial" w:hAnsi="Arial" w:cs="Arial"/>
          <w:color w:val="444444"/>
          <w:sz w:val="21"/>
          <w:szCs w:val="21"/>
        </w:rPr>
        <w:br/>
        <w:t>3. Documentar una evaluación de cumplimiento legal periódica acorde con la actualización de los requisitos legales identificados. SUBIR </w:t>
      </w:r>
      <w:r>
        <w:rPr>
          <w:rFonts w:ascii="Arial" w:hAnsi="Arial" w:cs="Arial"/>
          <w:color w:val="444444"/>
          <w:sz w:val="21"/>
          <w:szCs w:val="21"/>
        </w:rPr>
        <w:br/>
        <w:t>4. Establecer planes de acción y acciones correctivas para su resolución. SUBIR </w:t>
      </w:r>
      <w:r>
        <w:rPr>
          <w:rFonts w:ascii="Arial" w:hAnsi="Arial" w:cs="Arial"/>
          <w:color w:val="444444"/>
          <w:sz w:val="21"/>
          <w:szCs w:val="21"/>
        </w:rPr>
        <w:br/>
        <w:t>5. Crear una Matriz de requisitos legales aplicables y otros requisitos. (Ver Herramientas)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EA"/>
    <w:rsid w:val="000E4713"/>
    <w:rsid w:val="003466E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DED5-32F3-4FBB-9E05-062F85E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2018-02-08T23:23:00Z</dcterms:created>
  <dcterms:modified xsi:type="dcterms:W3CDTF">2018-02-08T23:23:00Z</dcterms:modified>
</cp:coreProperties>
</file>